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72" w:rsidRPr="005D2E72" w:rsidRDefault="005D2E72" w:rsidP="005D2E7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5D2E7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PORESKOM</w:t>
      </w:r>
      <w:r w:rsidRPr="005D2E7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POSTUPKU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Pr="005D2E7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5D2E72" w:rsidRPr="005D2E72" w:rsidRDefault="005D2E72" w:rsidP="005D2E72">
      <w:pPr>
        <w:jc w:val="center"/>
        <w:rPr>
          <w:rFonts w:ascii="Cambria" w:hAnsi="Cambria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pStyle w:val="Default"/>
        <w:rPr>
          <w:rFonts w:ascii="Cambria" w:hAnsi="Cambria" w:cs="Calibri"/>
          <w:b/>
          <w:noProof/>
          <w:color w:val="auto"/>
          <w:lang w:val="sr-Latn-CS"/>
        </w:rPr>
      </w:pPr>
    </w:p>
    <w:p w:rsidR="005D2E72" w:rsidRPr="005D2E72" w:rsidRDefault="005D2E72" w:rsidP="005D2E72">
      <w:pPr>
        <w:pStyle w:val="Default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GLAVA</w:t>
      </w:r>
      <w:r w:rsidRPr="005D2E72">
        <w:rPr>
          <w:b/>
          <w:noProof/>
          <w:color w:val="auto"/>
          <w:lang w:val="sr-Latn-CS"/>
        </w:rPr>
        <w:t xml:space="preserve"> I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lijeku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Definicije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budžeta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opština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gradova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fondova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nepovratno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obuhvata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takse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naknade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budžeta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opština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gradova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fondova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proistekla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kamatu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troškove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obustavom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prikuplja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podzakonski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podzakonski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tajna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raspolaže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predviđenim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predstavljaju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transakcijama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prihodima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rashodima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oblast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računovodstva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Primjena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5D2E72" w:rsidRPr="005D2E72" w:rsidRDefault="005D2E72" w:rsidP="005D2E7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obezbijedi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sigurnost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povjerljivost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prikupljenih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republičkim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lokalne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institucijama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javna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ovlašćenja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dobijene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čuvaju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tajnu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tužilaštvu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unutrašnjih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vlastima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međunarodnim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ugovorima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pismeni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pristanak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administracijama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Bosni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Hercegovini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sporazumu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omogući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finansija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Ministarstvo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nesmetan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kontinuiran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pristup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karticama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službenim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evidencijama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Ministarstvo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čuva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tajnu</w:t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pisanom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tajnom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takvom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povezati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pojedinačnim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identifikovati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istrage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vezi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krivičnim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oblasti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djelokrug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sadržani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Godišnjem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uvjerenju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ovlašćenom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sindikatu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svrhu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zaštite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neplaćenom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informisanja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objavljuju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internet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prikazuju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zbirno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obrađeni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statističkih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prosječna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bruto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prosječna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ukupan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slični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proizašlo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pStyle w:val="Default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GLAVA</w:t>
      </w:r>
      <w:r w:rsidRPr="005D2E72">
        <w:rPr>
          <w:b/>
          <w:noProof/>
          <w:color w:val="auto"/>
          <w:lang w:val="sr-Latn-CS"/>
        </w:rPr>
        <w:t xml:space="preserve"> II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diskrecionih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posvećujući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fakticiteta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suštini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simuliranim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prikriva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prikriva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disimulirani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left="1843" w:hanging="18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left="1843" w:hanging="18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vjeri</w:t>
      </w:r>
    </w:p>
    <w:p w:rsidR="005D2E72" w:rsidRPr="005D2E72" w:rsidRDefault="005D2E72" w:rsidP="005D2E72">
      <w:pPr>
        <w:ind w:left="1843" w:hanging="18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5D2E72" w:rsidRPr="005D2E72" w:rsidRDefault="005D2E72" w:rsidP="005D2E72">
      <w:pPr>
        <w:ind w:left="1843" w:hanging="18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numPr>
          <w:ilvl w:val="0"/>
          <w:numId w:val="7"/>
        </w:numPr>
        <w:ind w:left="99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numPr>
          <w:ilvl w:val="0"/>
          <w:numId w:val="7"/>
        </w:numPr>
        <w:ind w:left="99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Učestalost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razumnu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E167C7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E167C7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E167C7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E167C7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E167C7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E167C7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Načelo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ekonomičnosti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pStyle w:val="Default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GLAVA</w:t>
      </w:r>
      <w:r w:rsidRPr="005D2E72">
        <w:rPr>
          <w:b/>
          <w:noProof/>
          <w:color w:val="auto"/>
          <w:lang w:val="sr-Latn-CS"/>
        </w:rPr>
        <w:t xml:space="preserve"> III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NADLEŽNOST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Sjedište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Luci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sjedištu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područnim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centrima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područnim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kancelarijama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organizacionim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uređenim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unutrašnjoj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sistematizaciji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rukovodi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razrješava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11.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težih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namještenika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namještenici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odbiju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besplatne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uvjerenje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objektivno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opravdanog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razloga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donesu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odbijanju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blagovremeno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ažuriraju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unose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blagovremeno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preduzmu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obavještenje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namjerno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krajnje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nepažnje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pogrešno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evidentiraju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sistematizaciji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identifikaciju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uspostavljanje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lastRenderedPageBreak/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kamata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redovnu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bruto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zaposlenih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odredaba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Opšteg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kolektivnog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ugovora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ostalih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ugovora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zaključenih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otkrivanje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sprečavanje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krivičnih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okviru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tužilaštvu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izricanje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zaštitnih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sankcija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knjigovodstva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fiskalnog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potvrda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rezidentnosti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informisanje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edukaciju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postojećim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uvjerenja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priređivača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igara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zakonitost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priređivanja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igara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okviru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izradu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objavljivanje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internet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426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426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spacing w:before="38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spacing w:before="38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Ministarstvo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unutrašnjih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obavezno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pruži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postupcima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Koordinaciju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aktivnosti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Ministarstva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unutrašnjih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zajedničko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tijelo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imenuje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sklopljen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uzajamnost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ugrožava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javni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poredak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interese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opasnost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trgovinske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industrijske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tehnološke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profesionalne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tajne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proizvesti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štetu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nespojivu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svrhom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pomoći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dječiju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rizičnim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djelokruga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neuplaćenih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pohranjivanje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kilometara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vazdušne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rizičnih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analitička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kodiranje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bilansiranja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5D2E72" w:rsidRPr="005D2E72" w:rsidRDefault="005D2E72" w:rsidP="005D2E7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spacing w:before="250"/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ambijenta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savjetodavno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69"/>
        </w:tabs>
        <w:spacing w:before="250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</w:p>
    <w:p w:rsidR="005D2E72" w:rsidRPr="005D2E72" w:rsidRDefault="005D2E72" w:rsidP="005D2E7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left="5" w:right="43" w:firstLine="71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organizacionoj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registrovan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adrese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organizovanja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društva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vezi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upisom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dobije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besplatne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primjerke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obrazaca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dobije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besplatne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izabere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svrhu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osigura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čuvanje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prateće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elektronsom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period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sjedištem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ostvaruju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prihode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obavijesti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otvaranju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zatvaranju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zemlji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inostranstvu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zastupa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vlastite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interese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lično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zastupnika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punomoćnika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objašnjenja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prisutan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ometa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Default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GLAVA</w:t>
      </w:r>
      <w:r w:rsidRPr="005D2E72">
        <w:rPr>
          <w:b/>
          <w:noProof/>
          <w:color w:val="auto"/>
          <w:lang w:val="sr-Latn-CS"/>
        </w:rPr>
        <w:t xml:space="preserve"> IV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uvjerenja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redovne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drugostepeni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Pokretanje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5D2E72" w:rsidRPr="005D2E72" w:rsidRDefault="005D2E72" w:rsidP="005D2E72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ortačko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advokatsko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bračni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vanbračni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supružnik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srodnik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krvi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liniji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pobočnoj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stepena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staralac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usvojilac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usvojenik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potomci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žive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zajedničkom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domaćinstvu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Default="005D2E72" w:rsidP="005D2E72">
      <w:pPr>
        <w:ind w:firstLine="720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                                                   </w:t>
      </w:r>
    </w:p>
    <w:p w:rsidR="005D2E72" w:rsidRPr="005D2E72" w:rsidRDefault="005D2E72" w:rsidP="005D2E72">
      <w:pPr>
        <w:ind w:firstLine="720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Pozivanje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23.</w:t>
      </w:r>
    </w:p>
    <w:p w:rsidR="005D2E72" w:rsidRPr="005D2E72" w:rsidRDefault="005D2E72" w:rsidP="005D2E72">
      <w:pPr>
        <w:shd w:val="clear" w:color="auto" w:fill="FFFFFF"/>
        <w:ind w:left="14" w:right="43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left="14" w:right="43" w:firstLine="706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pozvati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uzimanja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predoči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oznaku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oznaku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neodazivanja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uručuje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preduzimanja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Maloljetnici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nesposobna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zastupnika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Pozvano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predstavnik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snimi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preduzimenje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tonskog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video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mediju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apisnik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sastaviće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potpisati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datirati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video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audio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snimljen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odazove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izostanak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asistenciju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69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Dostavljanje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punoljetnom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dostavljača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dostavnicu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zabilješku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5D2E72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dostaviti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elektronskom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poštom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saglasi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tim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načinom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adresu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elektronske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pošte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unesenu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posljednju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5D2E72" w:rsidRPr="005D2E72" w:rsidRDefault="005D2E72" w:rsidP="005D2E72">
      <w:pPr>
        <w:tabs>
          <w:tab w:val="left" w:pos="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upotrijebiti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uviđaj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ekonomičnosti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objasniti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efektivnosti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saglasan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procjenom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ističu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stečena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nasljeđem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poklonom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zakonit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besteretan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dokazivanja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pruže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materijalne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utvđena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neprijavljeni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prihod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metod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upoređivanja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metod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unakrsne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procjene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bankarskih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pologa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gotovinskih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rashoda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izvora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upotrebe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viška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rashoda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tokovima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Cs/>
          <w:i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procentualne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pozitivne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razlike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bruto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primanja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Cs/>
          <w:i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proizvoda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robe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obima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ind w:right="43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primjeni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koristiti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parametri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statistički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ind w:right="43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referentni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parametri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statistički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okviru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pojedinih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poslovni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standardi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profili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trećih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berze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brokeri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nekretninama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indirektnih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center" w:pos="4140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center" w:pos="4140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OBVEZNIKA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5D2E72" w:rsidRPr="005D2E72" w:rsidRDefault="005D2E72" w:rsidP="005D2E72">
      <w:pPr>
        <w:shd w:val="clear" w:color="auto" w:fill="FFFFFF"/>
        <w:spacing w:before="38"/>
        <w:ind w:right="43" w:firstLine="720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spacing w:before="38"/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obveznici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posrednici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registruju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kod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subjekata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Srpskoj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2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obrascu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registrovan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lastRenderedPageBreak/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prilogu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Odjavljivanje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identifikacionog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broja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</w:p>
    <w:p w:rsidR="005D2E72" w:rsidRPr="005D2E72" w:rsidRDefault="005D2E72" w:rsidP="005D2E72">
      <w:pPr>
        <w:shd w:val="clear" w:color="auto" w:fill="FFFFFF"/>
        <w:tabs>
          <w:tab w:val="left" w:pos="302"/>
          <w:tab w:val="left" w:pos="414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 w:firstLine="720"/>
        <w:jc w:val="both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 w:firstLine="720"/>
        <w:jc w:val="both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identifikacije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obveznicima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Obveznici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30. </w:t>
      </w:r>
    </w:p>
    <w:p w:rsidR="005D2E72" w:rsidRPr="005D2E72" w:rsidRDefault="005D2E72" w:rsidP="005D2E72">
      <w:pPr>
        <w:shd w:val="clear" w:color="auto" w:fill="FFFFFF"/>
        <w:ind w:left="34" w:right="43" w:firstLine="686"/>
        <w:jc w:val="both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left="34" w:right="43" w:firstLine="68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sljedeća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sjedištem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ostvaruje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prihode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prebivalište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boravište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Bosni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Hercegovini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ostvaruje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prihode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sjedištem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Federaciji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Bosne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Hercegovine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Brčko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Distriktu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poslovnom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jedinicom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stranog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podrazumijeva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definisana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porez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dobit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poslovnu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jedinicu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odredbe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odnose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pravna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prebivalište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jedinstvenim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matičnim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brojem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građana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mu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lični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broj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daljem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tekstu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Uskraćivanje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osnivač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osnivač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istovremeno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osnivač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udjelom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vlasništvu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25%,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statusnom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društava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statusne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lastRenderedPageBreak/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istovremeno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osnivač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udjelom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vlasništvu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25%,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vjerodostojni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osnivača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izrečena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neopoziva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avalirana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smetnje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smetnji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JIB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ponovo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nakon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što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otklonjene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smetnje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oduzet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Ograničenja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zajednice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etažnih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vlasnika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udruženja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fondacije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osnovani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ciljem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nedobitne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5D2E72" w:rsidRPr="005D2E72" w:rsidRDefault="005D2E72" w:rsidP="005D2E72">
      <w:pPr>
        <w:pStyle w:val="NormalWeb"/>
        <w:spacing w:before="0" w:beforeAutospacing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elektronske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odmah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tri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zaprimanja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dodjeljuje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privremeni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postojanja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smetnji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smislu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utvrdi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vrijeme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privremenog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postojale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smetnje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njegovu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smislu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oduzima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dodijeljeni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otklanjanja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smetnji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primjerak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banci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glavni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utvrdi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smetnje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dodjelu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dodijeljeni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smatraće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konačnim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unošenja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JIB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33.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propisa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dužno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organu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podnese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izjavu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unijeće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izjavu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predstavništva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34.</w:t>
      </w:r>
    </w:p>
    <w:p w:rsidR="005D2E72" w:rsidRPr="005D2E72" w:rsidRDefault="005D2E72" w:rsidP="005D2E72">
      <w:pPr>
        <w:shd w:val="clear" w:color="auto" w:fill="FFFFFF"/>
        <w:spacing w:before="240"/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organizacione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teritoriji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left="6" w:right="45" w:firstLine="71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ind w:left="6" w:right="45" w:firstLine="71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left="6" w:right="45" w:firstLine="71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left="6" w:right="45" w:firstLine="71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Predstavništvo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organizacione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teritoriji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lokacija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glavnog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predstavništva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2, 3,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registrovanih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JIS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saznanje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promijeni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vlasničku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strukturu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statusnu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forme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pismeno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obavijesti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promijeni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glavno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uspostalja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fiskalni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oporezivanje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obveznici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prijavljuju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fiskalni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registaciju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37.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prestao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odjavljivanju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jasno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naveden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period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trajanja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sličnog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povremeni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probni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ugovor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slično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lični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opravdan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interes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obzira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hanging="11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hanging="11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posredničke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boravištu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boravišta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 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SLUČAJEVI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ODGOVORNOSTI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posrednika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41.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jeste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69"/>
        </w:tabs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69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sljednika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42.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prestaje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posljedica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statusnih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ispunjava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sljednik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društva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prestaje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posljedica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statusnih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mijenja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ispunjenje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prešlo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sljednika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forme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utiče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ispunjenje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lastRenderedPageBreak/>
        <w:t>Odgovornost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nasljednika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43.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umrlog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ostavioca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nasljednici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visine</w:t>
      </w:r>
    </w:p>
    <w:p w:rsidR="005D2E72" w:rsidRPr="005D2E72" w:rsidRDefault="005D2E72" w:rsidP="005D2E72">
      <w:pPr>
        <w:shd w:val="clear" w:color="auto" w:fill="FFFFFF"/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naslijeđene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nasljednika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solidarno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dugove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ostavioca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visine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nasljednog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dijela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naslijeđena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dovoljna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cjelokupnog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ostavioca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neizmireni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otpisuje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</w:t>
      </w:r>
    </w:p>
    <w:p w:rsidR="005D2E72" w:rsidRPr="005D2E72" w:rsidRDefault="005D2E72" w:rsidP="005D2E72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neplaćenog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zloupotrebljava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izbjegavanju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izbjegnuto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propusti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plaćen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pažnjom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sačinjavanju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ispostavljanju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neistinitih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nevjerodostojnih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neurednom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neistinitom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neblagovremenom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posljedica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takvog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djelovanja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transakcije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naknade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naknadu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niža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cijene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mogla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postići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tržištu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periodu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neplaćenog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najviše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primljene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umanjene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umanji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pomaže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umanji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znalo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moralo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znati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suprotno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povoljniji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položaj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povjerioca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preduzelo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posljedica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naročito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preusmjeravanje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tokova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izbjegavanja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korišćenje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postizanja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zabranjenih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ciljeva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mogao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postići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umanjenje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otuđenje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takva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imala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posljedicu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nemogućnost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primjenjuje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učešće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kapitalu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iznosilo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10%.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</w:t>
      </w:r>
    </w:p>
    <w:p w:rsidR="005D2E72" w:rsidRPr="005D2E72" w:rsidRDefault="005D2E72" w:rsidP="005D2E72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2), 3), 4),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VII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indentifikacioni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ravnopravan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svojeručnim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otiskom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preporučenom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pošiljkom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bolest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nesrećni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otpočinjanja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8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izmiruje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osim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određeno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drugo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ispunjenje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izmiruje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izmirenjem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ta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gasi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Odredbe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sporedna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osim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drugačije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izmiriti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treće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umjesto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E30F8E" w:rsidRPr="005D2E72" w:rsidRDefault="005D2E72" w:rsidP="005D2E72">
      <w:pPr>
        <w:shd w:val="clear" w:color="auto" w:fill="FFFFFF"/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50.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konstatuje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pojedinačne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evidentiranjem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iskazao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donošenja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istekom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njome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E30F8E" w:rsidRPr="005D2E72" w:rsidRDefault="00E30F8E" w:rsidP="00E167C7">
      <w:pPr>
        <w:shd w:val="clear" w:color="auto" w:fill="FFFFFF"/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51. </w:t>
      </w:r>
    </w:p>
    <w:p w:rsidR="005D2E72" w:rsidRPr="005D2E72" w:rsidRDefault="005D2E72" w:rsidP="005D2E72">
      <w:pPr>
        <w:shd w:val="clear" w:color="auto" w:fill="FFFFFF"/>
        <w:ind w:left="67" w:right="43"/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plaćanju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nakon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utvrđuje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nalaže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plati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utvrđenu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donosi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prijavljene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smislu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. </w:t>
      </w:r>
    </w:p>
    <w:p w:rsid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više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solidarno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odgovaraju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onda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donosi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cjelokupne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vršiti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bilo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E30F8E" w:rsidRPr="005D2E72" w:rsidRDefault="00E30F8E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Prestanak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52.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prestaje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zastarjelošću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both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GLAVA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VIII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both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jc w:val="both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Redovna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naplata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  <w:r w:rsidRPr="005D2E72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ab/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Naplata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53.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54. 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vrši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banke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prenosom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novčanih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uplatne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javnih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prihoda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izmirenja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kupovinom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taksenih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markica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papira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sadržana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kompenzacijom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oduzete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sprovedenog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primljena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primila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svrhu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dovoljno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ovlašćenjima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0F8E" w:rsidRPr="005D2E72" w:rsidRDefault="00E30F8E" w:rsidP="00E167C7">
      <w:pPr>
        <w:shd w:val="clear" w:color="auto" w:fill="FFFFFF"/>
        <w:tabs>
          <w:tab w:val="left" w:pos="283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tabs>
          <w:tab w:val="left" w:pos="283"/>
          <w:tab w:val="center" w:pos="4500"/>
          <w:tab w:val="right" w:pos="9000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56.</w:t>
      </w:r>
    </w:p>
    <w:p w:rsidR="005D2E72" w:rsidRPr="005D2E72" w:rsidRDefault="005D2E72" w:rsidP="005D2E72">
      <w:pPr>
        <w:shd w:val="clear" w:color="auto" w:fill="FFFFFF"/>
        <w:tabs>
          <w:tab w:val="left" w:pos="283"/>
          <w:tab w:val="center" w:pos="4500"/>
          <w:tab w:val="right" w:pos="9000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vrstu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sporednog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naznačavanja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perioda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Raspored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uplaćenog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redoslijedom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počev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najranije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zatim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kamata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raspored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naplaćenog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redoslijedom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troškovi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ostali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glavni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kamate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Privremeno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57.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postojanje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učinjeno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vjerovatnim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opasnost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ostujeti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oteža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njenu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naplatu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zaključkom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privremene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obezbjeđenje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obrazloženje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čega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smatra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opasnost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osujeti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naplatu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nedospjele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postaje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izvršan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3" w:firstLine="720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smislu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raspolaganja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dostavljanjem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raspolaganja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dostavljanjem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zabilježbe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raspolaganja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određivanju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left="720" w:right="43"/>
        <w:jc w:val="both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uknjižbe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uknjižena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0F8E" w:rsidRPr="00E167C7" w:rsidRDefault="005D2E72" w:rsidP="00E167C7">
      <w:pPr>
        <w:spacing w:after="24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Opomena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plaćanje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djelimično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zabilješka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180"/>
        </w:tabs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</w:p>
    <w:p w:rsidR="005D2E72" w:rsidRPr="005D2E72" w:rsidRDefault="005D2E72" w:rsidP="005D2E72">
      <w:pPr>
        <w:shd w:val="clear" w:color="auto" w:fill="FFFFFF"/>
        <w:spacing w:before="53"/>
        <w:ind w:left="72" w:right="43"/>
        <w:jc w:val="center"/>
        <w:rPr>
          <w:rFonts w:ascii="Times New Roman" w:hAnsi="Times New Roman" w:cs="Times New Roman"/>
          <w:bCs/>
          <w:noProof/>
          <w:spacing w:val="-2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pacing w:val="-2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bCs/>
          <w:noProof/>
          <w:spacing w:val="-2"/>
          <w:sz w:val="24"/>
          <w:szCs w:val="24"/>
          <w:lang w:val="sr-Latn-CS"/>
        </w:rPr>
        <w:t xml:space="preserve"> 60.</w:t>
      </w:r>
    </w:p>
    <w:p w:rsidR="005D2E72" w:rsidRPr="005D2E72" w:rsidRDefault="005D2E72" w:rsidP="005D2E72">
      <w:pPr>
        <w:shd w:val="clear" w:color="auto" w:fill="FFFFFF"/>
        <w:spacing w:before="53"/>
        <w:ind w:left="72" w:right="43"/>
        <w:jc w:val="center"/>
        <w:rPr>
          <w:rFonts w:ascii="Times New Roman" w:hAnsi="Times New Roman" w:cs="Times New Roman"/>
          <w:bCs/>
          <w:noProof/>
          <w:spacing w:val="-2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5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kamatu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stopi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0,03%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dnevno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odobreno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odgađanje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ind w:right="45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Kamata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obračunava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narednog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izmirenja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isteka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roka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njen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povrat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Autospacing="0"/>
        <w:ind w:right="45" w:firstLine="720"/>
        <w:jc w:val="both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dužna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obračuna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kamatu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svim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aktima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nalaže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njihova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naplata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kamatu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konačnog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roka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uplate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određenog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odgađanju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dospjelih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Pozitivna</w:t>
      </w:r>
      <w:r w:rsidRPr="005D2E72"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1"/>
          <w:sz w:val="24"/>
          <w:szCs w:val="24"/>
          <w:lang w:val="sr-Latn-CS"/>
        </w:rPr>
        <w:t>kamata</w:t>
      </w:r>
    </w:p>
    <w:p w:rsidR="005D2E72" w:rsidRPr="005D2E72" w:rsidRDefault="005D2E72" w:rsidP="005D2E72">
      <w:pPr>
        <w:shd w:val="clear" w:color="auto" w:fill="FFFFFF"/>
        <w:tabs>
          <w:tab w:val="center" w:pos="4533"/>
          <w:tab w:val="left" w:pos="5585"/>
        </w:tabs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61.</w:t>
      </w:r>
    </w:p>
    <w:p w:rsidR="005D2E72" w:rsidRPr="005D2E72" w:rsidRDefault="005D2E72" w:rsidP="005D2E72">
      <w:pPr>
        <w:shd w:val="clear" w:color="auto" w:fill="FFFFFF"/>
        <w:tabs>
          <w:tab w:val="left" w:pos="0"/>
        </w:tabs>
        <w:spacing w:before="216"/>
        <w:ind w:right="45"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preplaćene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period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5"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unaprijed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obustavljaju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posrednici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osporavati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ekonomičnosti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osporavati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tabs>
          <w:tab w:val="left" w:pos="3686"/>
        </w:tabs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konstatuje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nesolventnost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podnošenjem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potpunog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odgođeno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14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zamijenjeno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naknadno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dugovanu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nastale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troškove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odobri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odgođeno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odobri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pretvaranje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vlasnički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udio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odobri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odgođeno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14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67C7" w:rsidRDefault="00E167C7" w:rsidP="005D2E72">
      <w:pPr>
        <w:tabs>
          <w:tab w:val="left" w:pos="14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14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neisplativosti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pacing w:after="24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cjelokupnog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pacing w:after="24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oslobađa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pacing w:after="24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gotovini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pljenidbom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oduzimanjem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gotovine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uključujući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penzije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ličnog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preneseno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hartijama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pljenidbom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hartija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institucije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najboljim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tržištu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ostvaren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odbitku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provizije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troškova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pljenidbom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oduzimanjem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njihovom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Republiku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nenovčanim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robe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opreme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nenovčanog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obavezivanjem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preneseno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ispuni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robu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isporuči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donosiocu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uknjižbom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založnog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hipoteke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podnošenjem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prijedloga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dobijenog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imovinskim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pljenidbom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unovčenjem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raspodjelu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obavezivanjem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B24F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izuzumu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izuzumu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</w:p>
    <w:p w:rsidR="005D2E72" w:rsidRPr="005D2E72" w:rsidRDefault="005D2E72" w:rsidP="005D2E72">
      <w:pPr>
        <w:tabs>
          <w:tab w:val="center" w:pos="0"/>
          <w:tab w:val="left" w:pos="7976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72.</w:t>
      </w:r>
    </w:p>
    <w:p w:rsidR="005D2E72" w:rsidRPr="005D2E72" w:rsidRDefault="005D2E72" w:rsidP="005D2E72">
      <w:pPr>
        <w:tabs>
          <w:tab w:val="center" w:pos="0"/>
          <w:tab w:val="left" w:pos="7976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uđe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uđe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asistenciju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punoljetna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pljenidbi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najlakše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unovčiti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Procjena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stvari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73.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procjenitelja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asistenciju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4F68" w:rsidRDefault="00B24F68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74.</w:t>
      </w:r>
    </w:p>
    <w:p w:rsidR="005D2E72" w:rsidRPr="005D2E72" w:rsidRDefault="005D2E72" w:rsidP="005D2E7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viđenom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iziskuje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Oglašavanje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75.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27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76.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postignuta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dugovane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licitacijama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zaplijenjenih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left" w:pos="27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Nesolventnost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78.</w:t>
      </w:r>
    </w:p>
    <w:p w:rsidR="005D2E72" w:rsidRPr="005D2E72" w:rsidRDefault="005D2E72" w:rsidP="005D2E72">
      <w:pPr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nesolventnost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Nesolventnost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podliježe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solventan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nesolventnosti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nesolventnosti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IX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NAČINI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OBAVEZE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otpočinjanja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ishod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preplaćene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81.</w:t>
      </w:r>
    </w:p>
    <w:p w:rsidR="005D2E72" w:rsidRPr="005D2E72" w:rsidRDefault="005D2E72" w:rsidP="005D2E72">
      <w:pPr>
        <w:tabs>
          <w:tab w:val="left" w:pos="1451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zastarijeva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</w:p>
    <w:p w:rsidR="005D2E72" w:rsidRPr="005D2E72" w:rsidRDefault="005D2E72" w:rsidP="005D2E72">
      <w:pPr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83.</w:t>
      </w:r>
    </w:p>
    <w:p w:rsidR="005D2E72" w:rsidRPr="005D2E72" w:rsidRDefault="005D2E72" w:rsidP="005D2E72">
      <w:pPr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zastarijevanje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pacing w:after="24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Obavještenje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preplati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84.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obavještenju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ukupan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buduća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preplaćeni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Automatsko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85.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rezultirala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center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preplaćenog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86.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veći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povrat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preplate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odluči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prijema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274"/>
        </w:tabs>
        <w:jc w:val="both"/>
        <w:rPr>
          <w:rFonts w:ascii="Times New Roman" w:hAnsi="Times New Roman" w:cs="Times New Roman"/>
          <w:noProof/>
          <w:spacing w:val="-5"/>
          <w:sz w:val="24"/>
          <w:szCs w:val="24"/>
          <w:lang w:val="sr-Latn-CS"/>
        </w:rPr>
      </w:pPr>
    </w:p>
    <w:p w:rsidR="005D2E72" w:rsidRPr="005D2E72" w:rsidRDefault="005D2E72" w:rsidP="005D2E72">
      <w:pP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X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br/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spacing w:before="278"/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right="3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izvršilaca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certifikat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dvije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struci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mlađeg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struci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dvije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četiri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struci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iskustva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višeg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pStyle w:val="BodyTextIndent2"/>
        <w:ind w:left="0" w:right="30" w:firstLine="720"/>
        <w:rPr>
          <w:noProof/>
          <w:lang w:val="sr-Latn-CS"/>
        </w:rPr>
      </w:pPr>
      <w:r w:rsidRPr="005D2E72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Osim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D2E72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Pr="005D2E7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D2E72">
        <w:rPr>
          <w:noProof/>
          <w:lang w:val="sr-Latn-CS"/>
        </w:rPr>
        <w:t xml:space="preserve">, </w:t>
      </w:r>
      <w:r>
        <w:rPr>
          <w:noProof/>
          <w:lang w:val="sr-Latn-CS"/>
        </w:rPr>
        <w:t>inspektor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težu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5D2E72">
        <w:rPr>
          <w:noProof/>
          <w:lang w:val="sr-Latn-CS"/>
        </w:rPr>
        <w:t>.</w:t>
      </w:r>
    </w:p>
    <w:p w:rsidR="005D2E72" w:rsidRPr="005D2E72" w:rsidRDefault="005D2E72" w:rsidP="005D2E72">
      <w:pPr>
        <w:pStyle w:val="BodyTextIndent2"/>
        <w:ind w:left="0" w:right="30" w:firstLine="720"/>
        <w:rPr>
          <w:noProof/>
          <w:lang w:val="sr-Latn-CS"/>
        </w:rPr>
      </w:pPr>
      <w:r w:rsidRPr="005D2E72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D2E72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D2E7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5D2E7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D2E72">
        <w:rPr>
          <w:noProof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283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89.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uspješnost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nadzora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koristi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pregleda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sasluša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stranke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svjedoke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pregleda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prostorije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pretpostavlja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pregleda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izuzme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kopije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izdavanje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potvrde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izuzimanju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nalaže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preduzimanje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određenih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radnji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ciljem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potpunijeg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činjeničnog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pregledu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sačini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donese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oduzetu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trajno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oduzete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potvrdu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oduzimanju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zapečati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tužilaštvu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tabs>
          <w:tab w:val="left" w:pos="2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kancelarijska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informativna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neregistrovanog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priređivača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pravilnošću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priređivanja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neregistrovanog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mjesečnog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92.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stranice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zabilješku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iznesenih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primjedaba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iznesene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Neodazivanje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kontrola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ocijeni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osujetiti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96.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neregistrovanog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činjeničnog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reprodukcionog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poluproizvoda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gotovih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saopštava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98.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zabilješku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iznesenih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primjedaba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B24F68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iznesene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="00B24F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primijenio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primijenio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uređuju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fiskalne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postupcima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ovlašćena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posebnim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serverom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102.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zabilješku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primjedbe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otpravak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otpravka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priređivača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priređivaču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167C7" w:rsidRDefault="00E167C7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167C7" w:rsidRDefault="00E167C7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167C7" w:rsidRDefault="00E167C7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167C7" w:rsidRDefault="00E167C7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XI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LIJEKU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105.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106.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Drugostopeni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odbaciti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žalbu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propustio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žalbu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odbiti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neosnovanu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vratiti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predmet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ponovni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djelimično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vratiti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ga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dijelu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ponovni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riješiti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cijelosti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poništiti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djelimično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izmijeniti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prvostepeno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XII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KAZNENE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  <w:r w:rsidRPr="005D2E7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nadzor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107.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primjenom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odredaba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Ministarstvo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B24F68" w:rsidRDefault="00B24F68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108.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pečaćenjem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pečaćenjem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kvarljivih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namirnica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otpravak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Ponovljeni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pečaćenjem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4F68" w:rsidRDefault="00B24F68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lijek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otpravka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Prekršaji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preduzetnika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112.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kaziniće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vezi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upisom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knjige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skladu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propisima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6).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kaziniće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subjekt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dozvoli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izvršiocu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uđe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prostorije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popisa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zapljene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pokretnih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stvari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72.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pruži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tražena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objašnjenja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93.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1),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poziv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pruži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tražena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objašnjenja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zahtjev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dokumentaciju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potrebna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kancelarijske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2),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omogući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inspektoru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mjesto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vršenje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terenske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95.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ometa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službenike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sprovođenju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12).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preduzetnik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preduzetnik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113. 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B24F68" w:rsidRDefault="00B24F68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114.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uplatilac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prijavljivanja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obračuna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plaćanja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obaveza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115. 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utvrđene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najviše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platio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4).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banke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116.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otvori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bez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dokaza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40),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blokadu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dostavljanju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zaključka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uspostavljanju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privremene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obezbjeđenja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57.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55.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70.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2). 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9.000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banke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drugih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117. 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potraživanja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račun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protiv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njegovog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dužnika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prenos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ostvarenog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prodajom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hartija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4),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nalogu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obavezu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tačka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6).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B24F68" w:rsidRDefault="00B24F68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E167C7" w:rsidRDefault="00E167C7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registre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118.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/>
        <w:jc w:val="center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upis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odgovarajući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registar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privrednu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vodi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matične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prebivališta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fizičkog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svaku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promjenu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evidencijama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registrima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2).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Novčanom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kazniće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prekršaj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odgovorno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nadležnom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organu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</w:p>
    <w:p w:rsidR="005D2E72" w:rsidRPr="005D2E72" w:rsidRDefault="005D2E72" w:rsidP="005D2E72">
      <w:pPr>
        <w:widowControl w:val="0"/>
        <w:shd w:val="clear" w:color="auto" w:fill="FFFFFF"/>
        <w:autoSpaceDE w:val="0"/>
        <w:autoSpaceDN w:val="0"/>
        <w:adjustRightInd w:val="0"/>
        <w:ind w:right="43"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XIII</w:t>
      </w:r>
    </w:p>
    <w:p w:rsidR="005D2E72" w:rsidRPr="005D2E72" w:rsidRDefault="005D2E72" w:rsidP="005D2E72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PRELAZNE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ZAVRŠNE</w:t>
      </w:r>
      <w:r w:rsidRPr="005D2E7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:rsid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Pr="005D2E72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ind w:right="4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167C7" w:rsidRDefault="00E167C7" w:rsidP="005D2E72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</w:t>
      </w:r>
    </w:p>
    <w:p w:rsidR="005D2E72" w:rsidRPr="005D2E72" w:rsidRDefault="005D2E72" w:rsidP="005D2E72">
      <w:pPr>
        <w:shd w:val="clear" w:color="auto" w:fill="FFFFFF"/>
        <w:ind w:right="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pStyle w:val="BodyText2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faktičku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faktičku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faktičku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bračni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vanbračni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supružnici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usvojenici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usvojioci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vazduhoplovi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štedni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gotov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novac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prevashodno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122.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formi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sadržaju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izrade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objavljivanja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izvještaja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radu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vođenja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baze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podataka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kategorizacije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rizičnih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uplatilaca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doprinosa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Jedinstvenom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9),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primjene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indirektnih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metoda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procjene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osnovice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registracije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identifikacije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obveznika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3),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strike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,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izdavanja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certifikata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obavljanje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inspekcijskih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88.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5), </w:t>
      </w:r>
    </w:p>
    <w:p w:rsidR="005D2E72" w:rsidRPr="005D2E72" w:rsidRDefault="005D2E72" w:rsidP="005D2E72">
      <w:pPr>
        <w:shd w:val="clear" w:color="auto" w:fill="FFFFFF"/>
        <w:ind w:firstLine="720"/>
        <w:jc w:val="both"/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izvršenja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mjere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zabrane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obavljanja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djelatnosti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zbog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nepodnošenja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prijave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Jedinstveni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sistem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pacing w:val="-1"/>
          <w:sz w:val="24"/>
          <w:szCs w:val="24"/>
          <w:lang w:val="sr-Latn-CS"/>
        </w:rPr>
        <w:t xml:space="preserve"> 6).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6),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8).</w:t>
      </w:r>
    </w:p>
    <w:p w:rsidR="00B24F68" w:rsidRPr="00E167C7" w:rsidRDefault="005D2E72" w:rsidP="00E167C7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4F68" w:rsidRDefault="00B24F68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E167C7" w:rsidRDefault="00E167C7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Pribavljanje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certifikata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123.</w:t>
      </w:r>
    </w:p>
    <w:p w:rsidR="005D2E72" w:rsidRPr="005D2E72" w:rsidRDefault="005D2E72" w:rsidP="005D2E72">
      <w:pPr>
        <w:shd w:val="clear" w:color="auto" w:fill="FFFFFF"/>
        <w:tabs>
          <w:tab w:val="left" w:pos="302"/>
        </w:tabs>
        <w:jc w:val="center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certifikat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67C7" w:rsidRDefault="00E167C7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Prestanak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5D2E72">
        <w:rPr>
          <w:rFonts w:ascii="Times New Roman" w:hAnsi="Times New Roman" w:cs="Times New Roman"/>
          <w:bCs/>
          <w:noProof/>
          <w:spacing w:val="-1"/>
          <w:sz w:val="24"/>
          <w:szCs w:val="24"/>
          <w:lang w:val="sr-Latn-CS"/>
        </w:rPr>
        <w:t xml:space="preserve">102/11, 108/11, 67/13, 31/14 </w:t>
      </w:r>
      <w:r>
        <w:rPr>
          <w:rFonts w:ascii="Times New Roman" w:hAnsi="Times New Roman" w:cs="Times New Roman"/>
          <w:bCs/>
          <w:noProof/>
          <w:spacing w:val="-1"/>
          <w:sz w:val="24"/>
          <w:szCs w:val="24"/>
          <w:lang w:val="sr-Latn-CS"/>
        </w:rPr>
        <w:t>i</w:t>
      </w:r>
      <w:r w:rsidRPr="005D2E72">
        <w:rPr>
          <w:rFonts w:ascii="Times New Roman" w:hAnsi="Times New Roman" w:cs="Times New Roman"/>
          <w:bCs/>
          <w:noProof/>
          <w:spacing w:val="-1"/>
          <w:sz w:val="24"/>
          <w:szCs w:val="24"/>
          <w:lang w:val="sr-Latn-CS"/>
        </w:rPr>
        <w:t xml:space="preserve"> 44/16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125. </w:t>
      </w:r>
    </w:p>
    <w:p w:rsidR="005D2E72" w:rsidRPr="005D2E72" w:rsidRDefault="005D2E72" w:rsidP="005D2E7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2E72" w:rsidRPr="005D2E72" w:rsidRDefault="005D2E72" w:rsidP="005D2E7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12B85">
        <w:rPr>
          <w:rFonts w:ascii="Times New Roman" w:hAnsi="Times New Roman" w:cs="Times New Roman"/>
          <w:noProof/>
          <w:sz w:val="24"/>
          <w:szCs w:val="24"/>
          <w:lang w:val="sr-Latn-CS"/>
        </w:rPr>
        <w:t>: 02/1-021-577</w:t>
      </w:r>
      <w:bookmarkStart w:id="0" w:name="_GoBack"/>
      <w:bookmarkEnd w:id="0"/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>/20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2E72" w:rsidRPr="005D2E72" w:rsidRDefault="005D2E72" w:rsidP="005D2E72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5D2E72" w:rsidRPr="005D2E72" w:rsidRDefault="005D2E72" w:rsidP="005D2E72">
      <w:pPr>
        <w:tabs>
          <w:tab w:val="center" w:pos="792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5D2E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5D2E72" w:rsidRPr="005D2E72" w:rsidRDefault="005D2E72" w:rsidP="005D2E72">
      <w:pPr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E72" w:rsidRPr="005D2E72" w:rsidRDefault="005D2E72" w:rsidP="005D2E72">
      <w:pPr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</w:pPr>
    </w:p>
    <w:p w:rsidR="005D2E72" w:rsidRPr="005D2E72" w:rsidRDefault="005D2E72" w:rsidP="005D2E72">
      <w:pPr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</w:pPr>
    </w:p>
    <w:p w:rsidR="005D2E72" w:rsidRPr="005D2E72" w:rsidRDefault="005D2E72" w:rsidP="005D2E72">
      <w:pPr>
        <w:tabs>
          <w:tab w:val="center" w:pos="7655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5D2E72" w:rsidRPr="005D2E72" w:rsidRDefault="005D2E72" w:rsidP="005D2E72">
      <w:pPr>
        <w:tabs>
          <w:tab w:val="center" w:pos="7655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5D2E72" w:rsidRPr="005D2E72" w:rsidRDefault="005D2E72" w:rsidP="005D2E72">
      <w:pPr>
        <w:tabs>
          <w:tab w:val="center" w:pos="7655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5D2E72" w:rsidRPr="005D2E72" w:rsidRDefault="005D2E72" w:rsidP="005D2E72">
      <w:pPr>
        <w:tabs>
          <w:tab w:val="center" w:pos="7655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5D2E72" w:rsidRPr="005D2E72" w:rsidRDefault="005D2E72" w:rsidP="005D2E72">
      <w:pPr>
        <w:tabs>
          <w:tab w:val="center" w:pos="7655"/>
        </w:tabs>
        <w:rPr>
          <w:rFonts w:ascii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EF54C5" w:rsidRPr="005D2E72" w:rsidRDefault="00EF54C5">
      <w:pPr>
        <w:rPr>
          <w:noProof/>
          <w:lang w:val="sr-Latn-CS"/>
        </w:rPr>
      </w:pPr>
    </w:p>
    <w:sectPr w:rsidR="00EF54C5" w:rsidRPr="005D2E72" w:rsidSect="00E30F8E">
      <w:pgSz w:w="11907" w:h="16839" w:code="9"/>
      <w:pgMar w:top="1440" w:right="1440" w:bottom="1440" w:left="1440" w:header="709" w:footer="709" w:gutter="0"/>
      <w:cols w:space="51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393A"/>
    <w:multiLevelType w:val="hybridMultilevel"/>
    <w:tmpl w:val="6ABC2B3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5D59E1"/>
    <w:multiLevelType w:val="hybridMultilevel"/>
    <w:tmpl w:val="C54C83B4"/>
    <w:lvl w:ilvl="0" w:tplc="EFE0E474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985BA5"/>
    <w:multiLevelType w:val="hybridMultilevel"/>
    <w:tmpl w:val="2DF80A9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337C7"/>
    <w:multiLevelType w:val="hybridMultilevel"/>
    <w:tmpl w:val="F15AC1A4"/>
    <w:lvl w:ilvl="0" w:tplc="BAD048B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028B4"/>
    <w:multiLevelType w:val="hybridMultilevel"/>
    <w:tmpl w:val="E70C7170"/>
    <w:lvl w:ilvl="0" w:tplc="0F9875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082983"/>
    <w:multiLevelType w:val="hybridMultilevel"/>
    <w:tmpl w:val="4606A45C"/>
    <w:lvl w:ilvl="0" w:tplc="6996097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C4E2C38"/>
    <w:multiLevelType w:val="hybridMultilevel"/>
    <w:tmpl w:val="8E967816"/>
    <w:lvl w:ilvl="0" w:tplc="52C0FD78">
      <w:start w:val="1"/>
      <w:numFmt w:val="decimal"/>
      <w:lvlText w:val="(%1)"/>
      <w:lvlJc w:val="left"/>
      <w:pPr>
        <w:tabs>
          <w:tab w:val="num" w:pos="1035"/>
        </w:tabs>
        <w:ind w:left="1035" w:hanging="375"/>
      </w:pPr>
      <w:rPr>
        <w:rFonts w:hint="default"/>
      </w:rPr>
    </w:lvl>
    <w:lvl w:ilvl="1" w:tplc="0C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427B2241"/>
    <w:multiLevelType w:val="hybridMultilevel"/>
    <w:tmpl w:val="93EC46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FE0E95"/>
    <w:multiLevelType w:val="hybridMultilevel"/>
    <w:tmpl w:val="E2545EDA"/>
    <w:lvl w:ilvl="0" w:tplc="80220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22A9D"/>
    <w:multiLevelType w:val="hybridMultilevel"/>
    <w:tmpl w:val="89C25434"/>
    <w:lvl w:ilvl="0" w:tplc="D2E08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B17A75"/>
    <w:multiLevelType w:val="hybridMultilevel"/>
    <w:tmpl w:val="C4163D1C"/>
    <w:lvl w:ilvl="0" w:tplc="D660B628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496C23"/>
    <w:multiLevelType w:val="hybridMultilevel"/>
    <w:tmpl w:val="77A46D30"/>
    <w:lvl w:ilvl="0" w:tplc="3ACE635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592DB4"/>
    <w:multiLevelType w:val="hybridMultilevel"/>
    <w:tmpl w:val="82624BCE"/>
    <w:lvl w:ilvl="0" w:tplc="CA36FF3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457995"/>
    <w:multiLevelType w:val="hybridMultilevel"/>
    <w:tmpl w:val="4EDCD9B4"/>
    <w:lvl w:ilvl="0" w:tplc="BD421EA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784D6B"/>
    <w:multiLevelType w:val="hybridMultilevel"/>
    <w:tmpl w:val="1F185E48"/>
    <w:lvl w:ilvl="0" w:tplc="464C5A40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7717B7"/>
    <w:multiLevelType w:val="hybridMultilevel"/>
    <w:tmpl w:val="A3DC9986"/>
    <w:lvl w:ilvl="0" w:tplc="EA682BC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9C"/>
    <w:rsid w:val="00212B85"/>
    <w:rsid w:val="002C439C"/>
    <w:rsid w:val="005D2E72"/>
    <w:rsid w:val="00B24F68"/>
    <w:rsid w:val="00E167C7"/>
    <w:rsid w:val="00E30F8E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72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link w:val="NormalWeb"/>
    <w:locked/>
    <w:rsid w:val="005D2E72"/>
    <w:rPr>
      <w:rFonts w:ascii="Verdana" w:hAnsi="Verdana"/>
      <w:color w:val="003366"/>
      <w:sz w:val="11"/>
      <w:szCs w:val="11"/>
    </w:rPr>
  </w:style>
  <w:style w:type="paragraph" w:styleId="NormalWeb">
    <w:name w:val="Normal (Web)"/>
    <w:basedOn w:val="Normal"/>
    <w:link w:val="NormalWebChar"/>
    <w:rsid w:val="005D2E72"/>
    <w:pPr>
      <w:spacing w:before="100" w:beforeAutospacing="1" w:after="100" w:afterAutospacing="1"/>
    </w:pPr>
    <w:rPr>
      <w:rFonts w:ascii="Verdana" w:eastAsiaTheme="minorHAnsi" w:hAnsi="Verdana" w:cstheme="minorBidi"/>
      <w:color w:val="003366"/>
      <w:sz w:val="11"/>
      <w:szCs w:val="11"/>
    </w:rPr>
  </w:style>
  <w:style w:type="character" w:customStyle="1" w:styleId="CommentTextChar">
    <w:name w:val="Comment Text Char"/>
    <w:link w:val="CommentText"/>
    <w:locked/>
    <w:rsid w:val="005D2E72"/>
    <w:rPr>
      <w:rFonts w:ascii="Arial" w:hAnsi="Arial" w:cs="Arial"/>
    </w:rPr>
  </w:style>
  <w:style w:type="paragraph" w:styleId="CommentText">
    <w:name w:val="annotation text"/>
    <w:basedOn w:val="Normal"/>
    <w:link w:val="CommentTextChar"/>
    <w:rsid w:val="005D2E72"/>
    <w:rPr>
      <w:rFonts w:eastAsiaTheme="minorHAnsi"/>
      <w:sz w:val="22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HeaderChar">
    <w:name w:val="Header Char"/>
    <w:link w:val="Header"/>
    <w:locked/>
    <w:rsid w:val="005D2E72"/>
    <w:rPr>
      <w:rFonts w:ascii="Arial" w:hAnsi="Arial" w:cs="Arial"/>
    </w:rPr>
  </w:style>
  <w:style w:type="paragraph" w:styleId="Header">
    <w:name w:val="header"/>
    <w:basedOn w:val="Normal"/>
    <w:link w:val="HeaderChar"/>
    <w:rsid w:val="005D2E7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FooterChar">
    <w:name w:val="Footer Char"/>
    <w:link w:val="Footer"/>
    <w:locked/>
    <w:rsid w:val="005D2E72"/>
    <w:rPr>
      <w:rFonts w:ascii="Arial" w:hAnsi="Arial" w:cs="Arial"/>
    </w:rPr>
  </w:style>
  <w:style w:type="paragraph" w:styleId="Footer">
    <w:name w:val="footer"/>
    <w:basedOn w:val="Normal"/>
    <w:link w:val="FooterChar"/>
    <w:rsid w:val="005D2E7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aliases w:val="uvlaka 2 Char"/>
    <w:link w:val="BodyTextIndent2"/>
    <w:locked/>
    <w:rsid w:val="005D2E72"/>
    <w:rPr>
      <w:sz w:val="24"/>
      <w:szCs w:val="24"/>
      <w:lang w:val="sr-Cyrl-CS"/>
    </w:rPr>
  </w:style>
  <w:style w:type="paragraph" w:styleId="BodyTextIndent2">
    <w:name w:val="Body Text Indent 2"/>
    <w:aliases w:val="uvlaka 2"/>
    <w:basedOn w:val="Normal"/>
    <w:link w:val="BodyTextIndent2Char"/>
    <w:rsid w:val="005D2E72"/>
    <w:pPr>
      <w:ind w:left="540" w:hanging="540"/>
      <w:jc w:val="both"/>
    </w:pPr>
    <w:rPr>
      <w:rFonts w:asciiTheme="minorHAnsi" w:eastAsiaTheme="minorHAnsi" w:hAnsiTheme="minorHAnsi" w:cstheme="minorBidi"/>
      <w:sz w:val="24"/>
      <w:szCs w:val="24"/>
      <w:lang w:val="sr-Cyrl-CS"/>
    </w:rPr>
  </w:style>
  <w:style w:type="character" w:customStyle="1" w:styleId="BodyTextIndent2Char1">
    <w:name w:val="Body Text Indent 2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CommentSubjectChar">
    <w:name w:val="Comment Subject Char"/>
    <w:link w:val="CommentSubject"/>
    <w:locked/>
    <w:rsid w:val="005D2E72"/>
    <w:rPr>
      <w:rFonts w:ascii="Arial" w:hAnsi="Arial" w:cs="Arial"/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5D2E72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5D2E72"/>
    <w:rPr>
      <w:rFonts w:ascii="Arial" w:eastAsia="Times New Roman" w:hAnsi="Arial" w:cs="Arial"/>
      <w:b/>
      <w:bCs/>
      <w:sz w:val="20"/>
      <w:szCs w:val="20"/>
    </w:rPr>
  </w:style>
  <w:style w:type="paragraph" w:styleId="NoSpacing">
    <w:name w:val="No Spacing"/>
    <w:qFormat/>
    <w:rsid w:val="005D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D2E72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2E72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rsid w:val="005D2E72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D2E72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5D2E72"/>
    <w:rPr>
      <w:rFonts w:ascii="Calibri" w:eastAsia="Calibri" w:hAnsi="Calibri" w:cs="Times New Roman"/>
      <w:szCs w:val="21"/>
      <w:lang w:val="x-none"/>
    </w:rPr>
  </w:style>
  <w:style w:type="paragraph" w:customStyle="1" w:styleId="clan">
    <w:name w:val="clan"/>
    <w:basedOn w:val="Normal"/>
    <w:rsid w:val="005D2E72"/>
    <w:pPr>
      <w:spacing w:before="240" w:after="120"/>
      <w:jc w:val="center"/>
    </w:pPr>
    <w:rPr>
      <w:b/>
      <w:bCs/>
      <w:sz w:val="24"/>
      <w:szCs w:val="24"/>
      <w:lang w:val="bs-Latn-BA" w:eastAsia="bs-Latn-BA"/>
    </w:rPr>
  </w:style>
  <w:style w:type="paragraph" w:customStyle="1" w:styleId="Normal1">
    <w:name w:val="Normal1"/>
    <w:basedOn w:val="Normal"/>
    <w:rsid w:val="005D2E72"/>
    <w:pPr>
      <w:spacing w:after="150"/>
    </w:pPr>
    <w:rPr>
      <w:sz w:val="22"/>
      <w:szCs w:val="22"/>
      <w:lang w:val="bs-Latn-BA" w:eastAsia="bs-Latn-BA"/>
    </w:rPr>
  </w:style>
  <w:style w:type="paragraph" w:customStyle="1" w:styleId="wyq110---naslov-clana">
    <w:name w:val="wyq110---naslov-clana"/>
    <w:basedOn w:val="Normal"/>
    <w:rsid w:val="005D2E72"/>
    <w:pPr>
      <w:spacing w:before="240" w:after="240"/>
      <w:jc w:val="center"/>
    </w:pPr>
    <w:rPr>
      <w:b/>
      <w:bCs/>
      <w:sz w:val="24"/>
      <w:szCs w:val="24"/>
      <w:lang w:val="bs-Latn-BA" w:eastAsia="bs-Latn-BA"/>
    </w:rPr>
  </w:style>
  <w:style w:type="character" w:styleId="Emphasis">
    <w:name w:val="Emphasis"/>
    <w:uiPriority w:val="20"/>
    <w:qFormat/>
    <w:rsid w:val="005D2E72"/>
    <w:rPr>
      <w:i/>
      <w:iCs/>
    </w:rPr>
  </w:style>
  <w:style w:type="paragraph" w:customStyle="1" w:styleId="Default">
    <w:name w:val="Default"/>
    <w:rsid w:val="005D2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RS"/>
    </w:rPr>
  </w:style>
  <w:style w:type="paragraph" w:styleId="FootnoteText">
    <w:name w:val="footnote text"/>
    <w:basedOn w:val="Normal"/>
    <w:link w:val="FootnoteTextChar"/>
    <w:uiPriority w:val="99"/>
    <w:unhideWhenUsed/>
    <w:rsid w:val="005D2E72"/>
    <w:rPr>
      <w:rFonts w:ascii="Times New Roman" w:hAnsi="Times New Roman" w:cs="Times New Roman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2E72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unhideWhenUsed/>
    <w:rsid w:val="005D2E72"/>
    <w:rPr>
      <w:vertAlign w:val="superscript"/>
    </w:rPr>
  </w:style>
  <w:style w:type="paragraph" w:styleId="BodyText2">
    <w:name w:val="Body Text 2"/>
    <w:basedOn w:val="Normal"/>
    <w:link w:val="BodyText2Char"/>
    <w:rsid w:val="005D2E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D2E72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D2E72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5D2E7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72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link w:val="NormalWeb"/>
    <w:locked/>
    <w:rsid w:val="005D2E72"/>
    <w:rPr>
      <w:rFonts w:ascii="Verdana" w:hAnsi="Verdana"/>
      <w:color w:val="003366"/>
      <w:sz w:val="11"/>
      <w:szCs w:val="11"/>
    </w:rPr>
  </w:style>
  <w:style w:type="paragraph" w:styleId="NormalWeb">
    <w:name w:val="Normal (Web)"/>
    <w:basedOn w:val="Normal"/>
    <w:link w:val="NormalWebChar"/>
    <w:rsid w:val="005D2E72"/>
    <w:pPr>
      <w:spacing w:before="100" w:beforeAutospacing="1" w:after="100" w:afterAutospacing="1"/>
    </w:pPr>
    <w:rPr>
      <w:rFonts w:ascii="Verdana" w:eastAsiaTheme="minorHAnsi" w:hAnsi="Verdana" w:cstheme="minorBidi"/>
      <w:color w:val="003366"/>
      <w:sz w:val="11"/>
      <w:szCs w:val="11"/>
    </w:rPr>
  </w:style>
  <w:style w:type="character" w:customStyle="1" w:styleId="CommentTextChar">
    <w:name w:val="Comment Text Char"/>
    <w:link w:val="CommentText"/>
    <w:locked/>
    <w:rsid w:val="005D2E72"/>
    <w:rPr>
      <w:rFonts w:ascii="Arial" w:hAnsi="Arial" w:cs="Arial"/>
    </w:rPr>
  </w:style>
  <w:style w:type="paragraph" w:styleId="CommentText">
    <w:name w:val="annotation text"/>
    <w:basedOn w:val="Normal"/>
    <w:link w:val="CommentTextChar"/>
    <w:rsid w:val="005D2E72"/>
    <w:rPr>
      <w:rFonts w:eastAsiaTheme="minorHAnsi"/>
      <w:sz w:val="22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HeaderChar">
    <w:name w:val="Header Char"/>
    <w:link w:val="Header"/>
    <w:locked/>
    <w:rsid w:val="005D2E72"/>
    <w:rPr>
      <w:rFonts w:ascii="Arial" w:hAnsi="Arial" w:cs="Arial"/>
    </w:rPr>
  </w:style>
  <w:style w:type="paragraph" w:styleId="Header">
    <w:name w:val="header"/>
    <w:basedOn w:val="Normal"/>
    <w:link w:val="HeaderChar"/>
    <w:rsid w:val="005D2E7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FooterChar">
    <w:name w:val="Footer Char"/>
    <w:link w:val="Footer"/>
    <w:locked/>
    <w:rsid w:val="005D2E72"/>
    <w:rPr>
      <w:rFonts w:ascii="Arial" w:hAnsi="Arial" w:cs="Arial"/>
    </w:rPr>
  </w:style>
  <w:style w:type="paragraph" w:styleId="Footer">
    <w:name w:val="footer"/>
    <w:basedOn w:val="Normal"/>
    <w:link w:val="FooterChar"/>
    <w:rsid w:val="005D2E7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aliases w:val="uvlaka 2 Char"/>
    <w:link w:val="BodyTextIndent2"/>
    <w:locked/>
    <w:rsid w:val="005D2E72"/>
    <w:rPr>
      <w:sz w:val="24"/>
      <w:szCs w:val="24"/>
      <w:lang w:val="sr-Cyrl-CS"/>
    </w:rPr>
  </w:style>
  <w:style w:type="paragraph" w:styleId="BodyTextIndent2">
    <w:name w:val="Body Text Indent 2"/>
    <w:aliases w:val="uvlaka 2"/>
    <w:basedOn w:val="Normal"/>
    <w:link w:val="BodyTextIndent2Char"/>
    <w:rsid w:val="005D2E72"/>
    <w:pPr>
      <w:ind w:left="540" w:hanging="540"/>
      <w:jc w:val="both"/>
    </w:pPr>
    <w:rPr>
      <w:rFonts w:asciiTheme="minorHAnsi" w:eastAsiaTheme="minorHAnsi" w:hAnsiTheme="minorHAnsi" w:cstheme="minorBidi"/>
      <w:sz w:val="24"/>
      <w:szCs w:val="24"/>
      <w:lang w:val="sr-Cyrl-CS"/>
    </w:rPr>
  </w:style>
  <w:style w:type="character" w:customStyle="1" w:styleId="BodyTextIndent2Char1">
    <w:name w:val="Body Text Indent 2 Char1"/>
    <w:basedOn w:val="DefaultParagraphFont"/>
    <w:uiPriority w:val="99"/>
    <w:semiHidden/>
    <w:rsid w:val="005D2E72"/>
    <w:rPr>
      <w:rFonts w:ascii="Arial" w:eastAsia="Times New Roman" w:hAnsi="Arial" w:cs="Arial"/>
      <w:sz w:val="20"/>
      <w:szCs w:val="20"/>
    </w:rPr>
  </w:style>
  <w:style w:type="character" w:customStyle="1" w:styleId="CommentSubjectChar">
    <w:name w:val="Comment Subject Char"/>
    <w:link w:val="CommentSubject"/>
    <w:locked/>
    <w:rsid w:val="005D2E72"/>
    <w:rPr>
      <w:rFonts w:ascii="Arial" w:hAnsi="Arial" w:cs="Arial"/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5D2E72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5D2E72"/>
    <w:rPr>
      <w:rFonts w:ascii="Arial" w:eastAsia="Times New Roman" w:hAnsi="Arial" w:cs="Arial"/>
      <w:b/>
      <w:bCs/>
      <w:sz w:val="20"/>
      <w:szCs w:val="20"/>
    </w:rPr>
  </w:style>
  <w:style w:type="paragraph" w:styleId="NoSpacing">
    <w:name w:val="No Spacing"/>
    <w:qFormat/>
    <w:rsid w:val="005D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D2E72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2E72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rsid w:val="005D2E72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5D2E72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5D2E72"/>
    <w:rPr>
      <w:rFonts w:ascii="Calibri" w:eastAsia="Calibri" w:hAnsi="Calibri" w:cs="Times New Roman"/>
      <w:szCs w:val="21"/>
      <w:lang w:val="x-none"/>
    </w:rPr>
  </w:style>
  <w:style w:type="paragraph" w:customStyle="1" w:styleId="clan">
    <w:name w:val="clan"/>
    <w:basedOn w:val="Normal"/>
    <w:rsid w:val="005D2E72"/>
    <w:pPr>
      <w:spacing w:before="240" w:after="120"/>
      <w:jc w:val="center"/>
    </w:pPr>
    <w:rPr>
      <w:b/>
      <w:bCs/>
      <w:sz w:val="24"/>
      <w:szCs w:val="24"/>
      <w:lang w:val="bs-Latn-BA" w:eastAsia="bs-Latn-BA"/>
    </w:rPr>
  </w:style>
  <w:style w:type="paragraph" w:customStyle="1" w:styleId="Normal1">
    <w:name w:val="Normal1"/>
    <w:basedOn w:val="Normal"/>
    <w:rsid w:val="005D2E72"/>
    <w:pPr>
      <w:spacing w:after="150"/>
    </w:pPr>
    <w:rPr>
      <w:sz w:val="22"/>
      <w:szCs w:val="22"/>
      <w:lang w:val="bs-Latn-BA" w:eastAsia="bs-Latn-BA"/>
    </w:rPr>
  </w:style>
  <w:style w:type="paragraph" w:customStyle="1" w:styleId="wyq110---naslov-clana">
    <w:name w:val="wyq110---naslov-clana"/>
    <w:basedOn w:val="Normal"/>
    <w:rsid w:val="005D2E72"/>
    <w:pPr>
      <w:spacing w:before="240" w:after="240"/>
      <w:jc w:val="center"/>
    </w:pPr>
    <w:rPr>
      <w:b/>
      <w:bCs/>
      <w:sz w:val="24"/>
      <w:szCs w:val="24"/>
      <w:lang w:val="bs-Latn-BA" w:eastAsia="bs-Latn-BA"/>
    </w:rPr>
  </w:style>
  <w:style w:type="character" w:styleId="Emphasis">
    <w:name w:val="Emphasis"/>
    <w:uiPriority w:val="20"/>
    <w:qFormat/>
    <w:rsid w:val="005D2E72"/>
    <w:rPr>
      <w:i/>
      <w:iCs/>
    </w:rPr>
  </w:style>
  <w:style w:type="paragraph" w:customStyle="1" w:styleId="Default">
    <w:name w:val="Default"/>
    <w:rsid w:val="005D2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RS"/>
    </w:rPr>
  </w:style>
  <w:style w:type="paragraph" w:styleId="FootnoteText">
    <w:name w:val="footnote text"/>
    <w:basedOn w:val="Normal"/>
    <w:link w:val="FootnoteTextChar"/>
    <w:uiPriority w:val="99"/>
    <w:unhideWhenUsed/>
    <w:rsid w:val="005D2E72"/>
    <w:rPr>
      <w:rFonts w:ascii="Times New Roman" w:hAnsi="Times New Roman" w:cs="Times New Roman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2E72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unhideWhenUsed/>
    <w:rsid w:val="005D2E72"/>
    <w:rPr>
      <w:vertAlign w:val="superscript"/>
    </w:rPr>
  </w:style>
  <w:style w:type="paragraph" w:styleId="BodyText2">
    <w:name w:val="Body Text 2"/>
    <w:basedOn w:val="Normal"/>
    <w:link w:val="BodyText2Char"/>
    <w:rsid w:val="005D2E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D2E72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D2E72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5D2E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43</Pages>
  <Words>16530</Words>
  <Characters>94222</Characters>
  <Application>Microsoft Office Word</Application>
  <DocSecurity>0</DocSecurity>
  <Lines>785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</cp:revision>
  <dcterms:created xsi:type="dcterms:W3CDTF">2020-07-22T09:30:00Z</dcterms:created>
  <dcterms:modified xsi:type="dcterms:W3CDTF">2020-07-23T08:08:00Z</dcterms:modified>
</cp:coreProperties>
</file>